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3EFF9">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ascii="宋体" w:hAnsi="宋体" w:cs="宋体"/>
          <w:b/>
          <w:bCs/>
          <w:w w:val="98"/>
          <w:kern w:val="0"/>
          <w:sz w:val="36"/>
          <w:szCs w:val="36"/>
        </w:rPr>
      </w:pPr>
      <w:r>
        <w:rPr>
          <w:rFonts w:hint="eastAsia" w:ascii="宋体" w:hAnsi="宋体" w:cs="宋体"/>
          <w:b/>
          <w:bCs/>
          <w:w w:val="98"/>
          <w:kern w:val="0"/>
          <w:sz w:val="36"/>
          <w:szCs w:val="36"/>
        </w:rPr>
        <w:t>内蒙古</w:t>
      </w:r>
      <w:r>
        <w:rPr>
          <w:rFonts w:hint="eastAsia" w:ascii="宋体" w:hAnsi="宋体" w:cs="宋体"/>
          <w:b/>
          <w:bCs/>
          <w:w w:val="98"/>
          <w:kern w:val="0"/>
          <w:sz w:val="36"/>
          <w:szCs w:val="36"/>
          <w:lang w:eastAsia="zh-CN"/>
        </w:rPr>
        <w:t>卓正</w:t>
      </w:r>
      <w:r>
        <w:rPr>
          <w:rFonts w:hint="eastAsia" w:ascii="宋体" w:hAnsi="宋体" w:cs="宋体"/>
          <w:b/>
          <w:bCs/>
          <w:w w:val="98"/>
          <w:kern w:val="0"/>
          <w:sz w:val="36"/>
          <w:szCs w:val="36"/>
        </w:rPr>
        <w:t>煤化工有限公司</w:t>
      </w:r>
    </w:p>
    <w:p w14:paraId="7E9E945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pPr>
      <w:bookmarkStart w:id="0" w:name="_Toc18456"/>
      <w:bookmarkStart w:id="1" w:name="_Toc21918"/>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年产120万吨煤制甲醇优化变更为年产100万吨煤制甲醇项目、甲醇醋酸延链优化深加工与综合利用生产</w:t>
      </w:r>
    </w:p>
    <w:p w14:paraId="5DCC593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高端化学品及新材料项目和新材料项目</w:t>
      </w:r>
    </w:p>
    <w:p w14:paraId="55852EAB">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jc w:val="center"/>
        <w:textAlignment w:val="auto"/>
        <w:outlineLvl w:val="0"/>
        <w:rPr>
          <w:rFonts w:hint="default" w:ascii="宋体" w:hAnsi="宋体" w:eastAsia="宋体" w:cs="宋体"/>
          <w:b/>
          <w:bCs w:val="0"/>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废水暂存池臭气收集和处理装置</w:t>
      </w:r>
    </w:p>
    <w:p w14:paraId="32DF0E8D">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rPr>
        <w:t>招标</w:t>
      </w:r>
      <w:bookmarkEnd w:id="0"/>
      <w:bookmarkEnd w:id="1"/>
      <w:r>
        <w:rPr>
          <w:rFonts w:hint="eastAsia" w:ascii="宋体" w:hAnsi="宋体" w:eastAsia="宋体" w:cs="宋体"/>
          <w:b/>
          <w:bCs w:val="0"/>
          <w:sz w:val="36"/>
          <w:szCs w:val="36"/>
        </w:rPr>
        <w:t>报名暨资格预审公告</w:t>
      </w:r>
    </w:p>
    <w:p w14:paraId="6404FD82">
      <w:pPr>
        <w:pStyle w:val="10"/>
        <w:keepNext w:val="0"/>
        <w:keepLines w:val="0"/>
        <w:pageBreakBefore w:val="0"/>
        <w:widowControl/>
        <w:kinsoku/>
        <w:wordWrap/>
        <w:overflowPunct/>
        <w:topLinePunct w:val="0"/>
        <w:autoSpaceDE/>
        <w:autoSpaceDN/>
        <w:bidi w:val="0"/>
        <w:adjustRightInd/>
        <w:snapToGrid/>
        <w:spacing w:line="360" w:lineRule="auto"/>
        <w:ind w:firstLine="0" w:firstLineChars="0"/>
        <w:contextualSpacing/>
        <w:textAlignment w:val="auto"/>
        <w:rPr>
          <w:rFonts w:asciiTheme="minorEastAsia" w:hAnsiTheme="minorEastAsia"/>
          <w:color w:val="000000" w:themeColor="text1"/>
          <w14:textFill>
            <w14:solidFill>
              <w14:schemeClr w14:val="tx1"/>
            </w14:solidFill>
          </w14:textFill>
        </w:rPr>
      </w:pPr>
    </w:p>
    <w:p w14:paraId="634F2B5B">
      <w:pPr>
        <w:pStyle w:val="10"/>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内蒙古</w:t>
      </w:r>
      <w:r>
        <w:rPr>
          <w:rFonts w:hint="eastAsia" w:ascii="仿宋" w:hAnsi="仿宋" w:eastAsia="仿宋" w:cs="仿宋"/>
          <w:color w:val="000000" w:themeColor="text1"/>
          <w:sz w:val="32"/>
          <w:szCs w:val="32"/>
          <w:lang w:val="en-US" w:eastAsia="zh-CN"/>
          <w14:textFill>
            <w14:solidFill>
              <w14:schemeClr w14:val="tx1"/>
            </w14:solidFill>
          </w14:textFill>
        </w:rPr>
        <w:t>卓正</w:t>
      </w:r>
      <w:r>
        <w:rPr>
          <w:rFonts w:hint="eastAsia" w:ascii="仿宋" w:hAnsi="仿宋" w:eastAsia="仿宋" w:cs="仿宋"/>
          <w:color w:val="000000" w:themeColor="text1"/>
          <w:sz w:val="32"/>
          <w:szCs w:val="32"/>
          <w14:textFill>
            <w14:solidFill>
              <w14:schemeClr w14:val="tx1"/>
            </w14:solidFill>
          </w14:textFill>
        </w:rPr>
        <w:t>煤化工有限公司</w:t>
      </w:r>
      <w:r>
        <w:rPr>
          <w:rFonts w:hint="eastAsia" w:ascii="仿宋" w:hAnsi="仿宋" w:eastAsia="仿宋" w:cs="仿宋"/>
          <w:color w:val="000000" w:themeColor="text1"/>
          <w:sz w:val="32"/>
          <w:szCs w:val="32"/>
          <w:lang w:eastAsia="zh-CN"/>
          <w14:textFill>
            <w14:solidFill>
              <w14:schemeClr w14:val="tx1"/>
            </w14:solidFill>
          </w14:textFill>
        </w:rPr>
        <w:t>年产120万吨煤制甲醇优化变更为年产100万吨煤制甲醇项目、甲醇醋酸延链优化深加工与综合利用生产高端化学品及新材料项目和新材料项目</w:t>
      </w:r>
      <w:r>
        <w:rPr>
          <w:rFonts w:hint="eastAsia" w:ascii="仿宋" w:hAnsi="仿宋" w:eastAsia="仿宋" w:cs="仿宋"/>
          <w:color w:val="000000" w:themeColor="text1"/>
          <w:sz w:val="32"/>
          <w:szCs w:val="32"/>
          <w:lang w:val="en-US" w:eastAsia="zh-CN"/>
          <w14:textFill>
            <w14:solidFill>
              <w14:schemeClr w14:val="tx1"/>
            </w14:solidFill>
          </w14:textFill>
        </w:rPr>
        <w:t>公用工程中心废水暂存池臭气收集和处理装置</w:t>
      </w:r>
      <w:r>
        <w:rPr>
          <w:rFonts w:hint="eastAsia" w:ascii="仿宋" w:hAnsi="仿宋" w:eastAsia="仿宋" w:cs="仿宋"/>
          <w:color w:val="000000" w:themeColor="text1"/>
          <w:sz w:val="32"/>
          <w:szCs w:val="32"/>
          <w:lang w:eastAsia="zh-CN"/>
          <w14:textFill>
            <w14:solidFill>
              <w14:schemeClr w14:val="tx1"/>
            </w14:solidFill>
          </w14:textFill>
        </w:rPr>
        <w:t>进</w:t>
      </w:r>
      <w:r>
        <w:rPr>
          <w:rFonts w:hint="eastAsia" w:ascii="仿宋" w:hAnsi="仿宋" w:eastAsia="仿宋" w:cs="仿宋"/>
          <w:color w:val="000000" w:themeColor="text1"/>
          <w:sz w:val="32"/>
          <w:szCs w:val="32"/>
          <w:highlight w:val="none"/>
          <w14:textFill>
            <w14:solidFill>
              <w14:schemeClr w14:val="tx1"/>
            </w14:solidFill>
          </w14:textFill>
        </w:rPr>
        <w:t>行投标单位报名暨资格预审，具体说明及要求如下：</w:t>
      </w:r>
    </w:p>
    <w:p w14:paraId="7DFF0F9F">
      <w:pPr>
        <w:pStyle w:val="10"/>
        <w:keepNext w:val="0"/>
        <w:keepLines w:val="0"/>
        <w:pageBreakBefore w:val="0"/>
        <w:widowControl/>
        <w:kinsoku/>
        <w:wordWrap/>
        <w:overflowPunct/>
        <w:topLinePunct w:val="0"/>
        <w:autoSpaceDE/>
        <w:autoSpaceDN/>
        <w:bidi w:val="0"/>
        <w:spacing w:line="560" w:lineRule="exact"/>
        <w:ind w:firstLine="643" w:firstLineChars="200"/>
        <w:contextualSpacing/>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w:t>
      </w:r>
      <w:r>
        <w:rPr>
          <w:rFonts w:hint="eastAsia" w:ascii="仿宋" w:hAnsi="仿宋" w:eastAsia="仿宋" w:cs="仿宋"/>
          <w:color w:val="000000" w:themeColor="text1"/>
          <w:sz w:val="32"/>
          <w:szCs w:val="32"/>
          <w:lang w:val="en-US" w:eastAsia="zh-CN"/>
          <w14:textFill>
            <w14:solidFill>
              <w14:schemeClr w14:val="tx1"/>
            </w14:solidFill>
          </w14:textFill>
        </w:rPr>
        <w:t>、项目概况</w:t>
      </w:r>
    </w:p>
    <w:p w14:paraId="118ADAA7">
      <w:pPr>
        <w:pStyle w:val="10"/>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1.1项目简介：内蒙古卓正煤化工有限公司是内蒙古汇能煤电集团有限公司响应自治区“五个大起底”行动方案，从解决历史遗留问题、缓解社会压力大局出发，以推进能源经济多元化、低碳化、高端化发展为目标，收购的全资子公司。</w:t>
      </w:r>
    </w:p>
    <w:p w14:paraId="0ACBAF0C">
      <w:pPr>
        <w:pStyle w:val="10"/>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内蒙古卓正煤化工有限公司年产120万吨煤制甲醇优化变更为年产100万吨煤制甲醇项目、甲醇醋酸延链优化深加工与综合利用生产高端化学品及新材料项目和新材料项目位于乌审旗苏里格经济开发区纳林河产业园，该项目在原年产120万吨甲醇和100万吨醋酸项目的基础上按照国家绿色低碳、节能环保的产业引导政策，采用先进的工艺技术，建</w:t>
      </w:r>
      <w:r>
        <w:rPr>
          <w:rFonts w:hint="eastAsia" w:ascii="仿宋" w:hAnsi="仿宋" w:eastAsia="仿宋" w:cs="仿宋"/>
          <w:color w:val="auto"/>
          <w:sz w:val="32"/>
          <w:szCs w:val="32"/>
          <w:highlight w:val="none"/>
          <w:lang w:val="en-US" w:eastAsia="zh-CN"/>
        </w:rPr>
        <w:t>设200万吨/年原煤预处理装置、100万吨/年甲醇装置、50</w:t>
      </w:r>
      <w:r>
        <w:rPr>
          <w:rFonts w:hint="eastAsia" w:ascii="仿宋" w:hAnsi="仿宋" w:eastAsia="仿宋" w:cs="仿宋"/>
          <w:b/>
          <w:bCs/>
          <w:color w:val="auto"/>
          <w:kern w:val="0"/>
          <w:sz w:val="32"/>
          <w:szCs w:val="32"/>
          <w:highlight w:val="none"/>
          <w:lang w:val="en-US" w:eastAsia="zh-CN" w:bidi="ar-SA"/>
        </w:rPr>
        <w:t>万</w:t>
      </w:r>
      <w:r>
        <w:rPr>
          <w:rFonts w:hint="eastAsia" w:ascii="仿宋" w:hAnsi="仿宋" w:eastAsia="仿宋" w:cs="仿宋"/>
          <w:color w:val="auto"/>
          <w:sz w:val="32"/>
          <w:szCs w:val="32"/>
          <w:highlight w:val="none"/>
          <w:lang w:val="en-US" w:eastAsia="zh-CN"/>
        </w:rPr>
        <w:t>吨/年醋酸装置、60万吨/年乙醇装置、35万吨/年乙醇酸甲酯 (MG)装置、20万吨/年聚乙醇酸(PGA)装置、6万吨/年聚甲醛 (POM) 装置、液化天然气(LNG)装置等配套公辅工程</w:t>
      </w: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w:t>
      </w:r>
    </w:p>
    <w:p w14:paraId="48D71510">
      <w:pPr>
        <w:pStyle w:val="10"/>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1.2招标人：</w:t>
      </w: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w:t>
      </w:r>
    </w:p>
    <w:p w14:paraId="7EC0E44B">
      <w:pPr>
        <w:pStyle w:val="10"/>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1.3建设地点：</w:t>
      </w: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鄂</w:t>
      </w:r>
      <w:r>
        <w:rPr>
          <w:rFonts w:hint="eastAsia" w:ascii="仿宋" w:hAnsi="仿宋" w:eastAsia="仿宋" w:cs="仿宋"/>
          <w:color w:val="000000" w:themeColor="text1"/>
          <w:sz w:val="32"/>
          <w:szCs w:val="32"/>
          <w:highlight w:val="none"/>
          <w:lang w:val="en-US" w:eastAsia="zh-CN"/>
          <w14:textFill>
            <w14:solidFill>
              <w14:schemeClr w14:val="tx1"/>
            </w14:solidFill>
          </w14:textFill>
        </w:rPr>
        <w:t>尔多斯市乌审旗苏里格经济开发区纳林河产业园内蒙古卓正煤化工有限公司</w:t>
      </w:r>
    </w:p>
    <w:p w14:paraId="1DB8B3EA">
      <w:pPr>
        <w:pStyle w:val="10"/>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1.4招标方式：</w:t>
      </w:r>
      <w:r>
        <w:rPr>
          <w:rFonts w:hint="eastAsia" w:ascii="仿宋" w:hAnsi="仿宋" w:eastAsia="仿宋" w:cs="仿宋"/>
          <w:color w:val="000000" w:themeColor="text1"/>
          <w:sz w:val="32"/>
          <w:szCs w:val="32"/>
          <w:highlight w:val="none"/>
          <w:lang w:val="en-US" w:eastAsia="zh-CN"/>
          <w14:textFill>
            <w14:solidFill>
              <w14:schemeClr w14:val="tx1"/>
            </w14:solidFill>
          </w14:textFill>
        </w:rPr>
        <w:t>邀请招标</w:t>
      </w:r>
    </w:p>
    <w:p w14:paraId="2B6D4E07">
      <w:pPr>
        <w:pStyle w:val="10"/>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2.招标内容：</w:t>
      </w:r>
      <w:r>
        <w:rPr>
          <w:rFonts w:hint="eastAsia" w:ascii="仿宋" w:hAnsi="仿宋" w:eastAsia="仿宋" w:cs="仿宋"/>
          <w:color w:val="000000" w:themeColor="text1"/>
          <w:sz w:val="32"/>
          <w:szCs w:val="32"/>
          <w:lang w:val="en-US" w:eastAsia="zh-CN"/>
          <w14:textFill>
            <w14:solidFill>
              <w14:schemeClr w14:val="tx1"/>
            </w14:solidFill>
          </w14:textFill>
        </w:rPr>
        <w:t>废水暂存池臭气收集和处理装置1套。</w:t>
      </w:r>
    </w:p>
    <w:p w14:paraId="47E41BE8">
      <w:pPr>
        <w:pStyle w:val="10"/>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 xml:space="preserve">    </w:t>
      </w:r>
      <w:r>
        <w:rPr>
          <w:rFonts w:hint="eastAsia" w:ascii="仿宋" w:hAnsi="仿宋" w:eastAsia="仿宋" w:cs="仿宋"/>
          <w:color w:val="auto"/>
          <w:sz w:val="32"/>
          <w:szCs w:val="32"/>
          <w:highlight w:val="none"/>
          <w:lang w:val="en-US" w:eastAsia="zh-CN"/>
        </w:rPr>
        <w:t>技术质量要求：</w:t>
      </w:r>
    </w:p>
    <w:p w14:paraId="4286A77D">
      <w:pPr>
        <w:pStyle w:val="10"/>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default" w:ascii="宋体" w:hAnsi="宋体" w:eastAsia="宋体"/>
          <w:color w:val="auto"/>
          <w:kern w:val="0"/>
          <w:sz w:val="24"/>
          <w:szCs w:val="24"/>
          <w:highlight w:val="none"/>
          <w:lang w:val="en-US" w:eastAsia="zh-CN"/>
        </w:rPr>
      </w:pPr>
      <w:r>
        <w:rPr>
          <w:rFonts w:hint="eastAsia" w:ascii="仿宋" w:hAnsi="仿宋" w:eastAsia="仿宋" w:cs="仿宋"/>
          <w:color w:val="auto"/>
          <w:sz w:val="32"/>
          <w:szCs w:val="32"/>
          <w:highlight w:val="none"/>
          <w:lang w:val="en-US" w:eastAsia="zh-CN"/>
        </w:rPr>
        <w:t xml:space="preserve">    臭气处理要求选用“酸洗+碱洗+次氯酸钠氧化洗涤（加强除雾）+二级生物滤池（生物滴滤和生物过滤）+活性炭吸附”工艺，其中碱洗+次氯酸钠氧化洗涤+两级生物滤池为一体化设计，碱洗和次氯酸钠氧化洗涤可与生物滴滤装置共用，化学洗涤与生物滤池可分别单独运行、可串联运行，生物滴滤段和生物过滤段需分别设置超越管路，均可分别超越至活性炭吸附装置或排气筒，经处理后达标排放，运行过程中可根据废气处理效果来确定使用处理工艺段。活性炭吸附需设置除湿设施，以保证活性炭吸附装置的使用效率。臭气处理装置为1套。</w:t>
      </w:r>
    </w:p>
    <w:p w14:paraId="78102EDD">
      <w:pPr>
        <w:pStyle w:val="10"/>
        <w:keepNext w:val="0"/>
        <w:keepLines w:val="0"/>
        <w:pageBreakBefore w:val="0"/>
        <w:widowControl/>
        <w:numPr>
          <w:ilvl w:val="0"/>
          <w:numId w:val="0"/>
        </w:numPr>
        <w:kinsoku/>
        <w:wordWrap/>
        <w:overflowPunct/>
        <w:topLinePunct w:val="0"/>
        <w:autoSpaceDE/>
        <w:autoSpaceDN/>
        <w:bidi w:val="0"/>
        <w:spacing w:line="560" w:lineRule="exact"/>
        <w:contextualSpacing/>
        <w:jc w:val="left"/>
        <w:textAlignment w:val="auto"/>
        <w:rPr>
          <w:rFonts w:hint="default" w:ascii="黑体" w:hAnsi="黑体" w:eastAsia="黑体" w:cs="黑体"/>
          <w:b w:val="0"/>
          <w:bCs w:val="0"/>
          <w:color w:val="000000" w:themeColor="text1"/>
          <w:sz w:val="32"/>
          <w:szCs w:val="32"/>
          <w:highlight w:val="none"/>
          <w:lang w:val="en-US" w:eastAsia="zh-CN"/>
          <w14:textFill>
            <w14:solidFill>
              <w14:schemeClr w14:val="tx1"/>
            </w14:solidFill>
          </w14:textFill>
        </w:rPr>
      </w:pPr>
    </w:p>
    <w:p w14:paraId="2A0ED83C">
      <w:pPr>
        <w:pStyle w:val="10"/>
        <w:keepNext w:val="0"/>
        <w:keepLines w:val="0"/>
        <w:pageBreakBefore w:val="0"/>
        <w:widowControl/>
        <w:numPr>
          <w:ilvl w:val="0"/>
          <w:numId w:val="0"/>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SA"/>
          <w14:textFill>
            <w14:solidFill>
              <w14:schemeClr w14:val="tx1"/>
            </w14:solidFill>
          </w14:textFill>
        </w:rPr>
        <w:t>3、</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投标人资格要求</w:t>
      </w:r>
    </w:p>
    <w:p w14:paraId="552D61F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投标人应具有圆满履行合同的能力，包含但不限于：</w:t>
      </w:r>
    </w:p>
    <w:p w14:paraId="79846A6E">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3450A0C8">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3.2具有独立承担民事责任的能力。</w:t>
      </w:r>
    </w:p>
    <w:p w14:paraId="4F21E6C1">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3.3具有良好的商业信誉和健全的财务会计制度，近3年至少2年盈利。</w:t>
      </w:r>
    </w:p>
    <w:p w14:paraId="22B82328">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3.4投标人在专业技术、设备设施、人员组织、业绩经验等方面具有设计、制造、质量控制、经营管理并经国家有关部门认可的资格和能力。</w:t>
      </w:r>
    </w:p>
    <w:p w14:paraId="00143273">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3.5投标人具有完善的质量保证体系及其质量认证证明。</w:t>
      </w:r>
    </w:p>
    <w:p w14:paraId="0333EB0B">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3.6具有设计、生产制造</w:t>
      </w:r>
      <w:bookmarkStart w:id="2" w:name="_Toc3407"/>
      <w:bookmarkStart w:id="3" w:name="_Toc31128"/>
      <w:bookmarkStart w:id="4" w:name="_Toc2206"/>
      <w:bookmarkStart w:id="5" w:name="_Toc28391"/>
      <w:bookmarkStart w:id="6" w:name="_Toc15913"/>
      <w:bookmarkStart w:id="7" w:name="_Toc29305"/>
      <w:bookmarkStart w:id="8" w:name="_Toc31151"/>
      <w:bookmarkStart w:id="9" w:name="_Toc23770"/>
      <w:r>
        <w:rPr>
          <w:rFonts w:hint="eastAsia" w:ascii="仿宋" w:hAnsi="仿宋" w:eastAsia="仿宋" w:cs="仿宋"/>
          <w:color w:val="000000" w:themeColor="text1"/>
          <w:sz w:val="32"/>
          <w:szCs w:val="32"/>
          <w:highlight w:val="none"/>
          <w:lang w:val="en-US" w:eastAsia="zh-CN"/>
          <w14:textFill>
            <w14:solidFill>
              <w14:schemeClr w14:val="tx1"/>
            </w14:solidFill>
          </w14:textFill>
        </w:rPr>
        <w:t>规格型号</w:t>
      </w:r>
      <w:bookmarkEnd w:id="2"/>
      <w:bookmarkEnd w:id="3"/>
      <w:bookmarkEnd w:id="4"/>
      <w:bookmarkEnd w:id="5"/>
      <w:bookmarkEnd w:id="6"/>
      <w:bookmarkEnd w:id="7"/>
      <w:bookmarkEnd w:id="8"/>
      <w:bookmarkEnd w:id="9"/>
      <w:r>
        <w:rPr>
          <w:rFonts w:hint="eastAsia" w:ascii="仿宋" w:hAnsi="仿宋" w:eastAsia="仿宋" w:cs="仿宋"/>
          <w:color w:val="000000" w:themeColor="text1"/>
          <w:sz w:val="32"/>
          <w:szCs w:val="32"/>
          <w:highlight w:val="none"/>
          <w:lang w:val="en-US" w:eastAsia="zh-CN"/>
          <w14:textFill>
            <w14:solidFill>
              <w14:schemeClr w14:val="tx1"/>
            </w14:solidFill>
          </w14:textFill>
        </w:rPr>
        <w:t>为单套单位水面面积臭气风量75000m3/h/m2·h能力，且具有5年内设计、生产制造单套单位水面面积臭气风量75000m3/h/m2·h能力的3家及以上成功业绩，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625ECC1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3.7如标的物是国家法律、法规、部门规章及规范标准规定应具有有效生产许可证、特种设备生产许可证、制造计量器具许可证、国家强制性产品认证证书（3C认证）的，应提供证书；</w:t>
      </w:r>
    </w:p>
    <w:p w14:paraId="5A7189D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3.8企业法定代表人为同一个人的两个及两个以上法人，或母公司、全资子公司及其控股公司，不得在同一标的物招标中同时投标；</w:t>
      </w:r>
    </w:p>
    <w:p w14:paraId="22A4BD9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3.9本次招标不接受代理商投标，不接受联合体投标；</w:t>
      </w:r>
    </w:p>
    <w:p w14:paraId="3A5E2D41">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3.10具备法律/行政法规规定的其他必要条件；</w:t>
      </w:r>
    </w:p>
    <w:p w14:paraId="2B1791AF">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4、</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资格预审文件编制要求（按如下内容及顺序要求）</w:t>
      </w:r>
    </w:p>
    <w:p w14:paraId="5F1A1B01">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4.1封面</w:t>
      </w:r>
    </w:p>
    <w:p w14:paraId="452EC32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4.2投标人报名表（格式后附）</w:t>
      </w:r>
    </w:p>
    <w:p w14:paraId="7035B72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4.3法人授权书</w:t>
      </w:r>
    </w:p>
    <w:p w14:paraId="5D24535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4.4企业营业执照</w:t>
      </w:r>
    </w:p>
    <w:p w14:paraId="0A932632">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4.5提供有效资质证明文件</w:t>
      </w:r>
    </w:p>
    <w:p w14:paraId="0040393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4.6近三年已审计的财务报表</w:t>
      </w:r>
    </w:p>
    <w:p w14:paraId="3616F153">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4.7提供具有设计、生产制造规格型号为单套单位水面面积臭气风量75000m3/h/m2·h能力的资质证明，且具有5年内设计、生产制造单套单位水面面积臭气风量75000m3/h/m2·h能力3家及以上成功业绩证明资料；</w:t>
      </w:r>
    </w:p>
    <w:p w14:paraId="17EFF889">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4.8企业生产许可证、特种设备生产许可证、压力容器制造许可证,包含但不限于（A1.A2.A3.D）、制造计量器具许可证、国家强制性产品认证证书（如涉及）；</w:t>
      </w:r>
    </w:p>
    <w:p w14:paraId="0FEDD37B">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4.9提供企业所获奖项证明（如有）；</w:t>
      </w:r>
    </w:p>
    <w:p w14:paraId="6313D811">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4.10其它有必要提供给招标人的资料。</w:t>
      </w:r>
    </w:p>
    <w:p w14:paraId="34B1FCA2">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5、</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资格预审文件递交方式、递交时间</w:t>
      </w:r>
    </w:p>
    <w:p w14:paraId="2715A7A2">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符合条件的意向投标人如有意参加投标，可按本公告要求编制资格预审文件，资格预审文件递交方式以下二种任选：</w:t>
      </w:r>
    </w:p>
    <w:p w14:paraId="2AB643B2">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递交方式一：以电子邮件的形式发送，要求为PDF格式，接收邮箱地址：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zzmhgzbbj@163.com，邮件名为***公司公用工程中心</w:t>
      </w:r>
      <w:r>
        <w:rPr>
          <w:rFonts w:hint="eastAsia" w:ascii="仿宋" w:hAnsi="仿宋" w:eastAsia="仿宋" w:cs="仿宋"/>
          <w:color w:val="000000" w:themeColor="text1"/>
          <w:sz w:val="32"/>
          <w:szCs w:val="32"/>
          <w:highlight w:val="none"/>
          <w14:textFill>
            <w14:solidFill>
              <w14:schemeClr w14:val="tx1"/>
            </w14:solidFill>
          </w14:textFill>
        </w:rPr>
        <w:t>废水暂存池臭气收集和处理装置</w:t>
      </w:r>
      <w:r>
        <w:rPr>
          <w:rFonts w:hint="eastAsia" w:ascii="仿宋" w:hAnsi="仿宋" w:eastAsia="仿宋" w:cs="仿宋"/>
          <w:color w:val="000000" w:themeColor="text1"/>
          <w:sz w:val="32"/>
          <w:szCs w:val="32"/>
          <w:highlight w:val="none"/>
          <w:lang w:val="en-US" w:eastAsia="zh-CN"/>
          <w14:textFill>
            <w14:solidFill>
              <w14:schemeClr w14:val="tx1"/>
            </w14:solidFill>
          </w14:textFill>
        </w:rPr>
        <w:t>资质预审文件</w:t>
      </w:r>
      <w:r>
        <w:rPr>
          <w:rFonts w:hint="eastAsia" w:ascii="仿宋" w:hAnsi="仿宋" w:eastAsia="仿宋" w:cs="仿宋"/>
          <w:color w:val="000000" w:themeColor="text1"/>
          <w:sz w:val="32"/>
          <w:szCs w:val="32"/>
          <w:highlight w:val="none"/>
          <w14:textFill>
            <w14:solidFill>
              <w14:schemeClr w14:val="tx1"/>
            </w14:solidFill>
          </w14:textFill>
        </w:rPr>
        <w:t>。</w:t>
      </w:r>
    </w:p>
    <w:p w14:paraId="7E6C9193">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递交方式二：现场递交</w:t>
      </w:r>
    </w:p>
    <w:p w14:paraId="4726EEE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鄂尔多斯市乌审旗苏里格经济开发区纳林河产业园内蒙古卓正煤化工有限公司一楼综合管理办公室</w:t>
      </w:r>
      <w:r>
        <w:rPr>
          <w:rFonts w:hint="eastAsia" w:ascii="仿宋" w:hAnsi="仿宋" w:eastAsia="仿宋" w:cs="仿宋"/>
          <w:color w:val="000000" w:themeColor="text1"/>
          <w:sz w:val="32"/>
          <w:szCs w:val="32"/>
          <w:highlight w:val="none"/>
          <w14:textFill>
            <w14:solidFill>
              <w14:schemeClr w14:val="tx1"/>
            </w14:solidFill>
          </w14:textFill>
        </w:rPr>
        <w:t>。</w:t>
      </w:r>
    </w:p>
    <w:p w14:paraId="0414E0D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000000" w:themeColor="text1"/>
          <w:sz w:val="32"/>
          <w:szCs w:val="32"/>
          <w:highlight w:val="none"/>
          <w14:textFill>
            <w14:solidFill>
              <w14:schemeClr w14:val="tx1"/>
            </w14:solidFill>
          </w14:textFill>
        </w:rPr>
        <w:t>联系人</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auto"/>
          <w:sz w:val="32"/>
          <w:szCs w:val="32"/>
          <w:highlight w:val="none"/>
          <w:lang w:val="en-US" w:eastAsia="zh-CN"/>
        </w:rPr>
        <w:t>曹振兴  15332848920</w:t>
      </w:r>
    </w:p>
    <w:p w14:paraId="3FA31D0B">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FF0000"/>
          <w:sz w:val="32"/>
          <w:szCs w:val="32"/>
          <w:highlight w:val="yellow"/>
        </w:rPr>
      </w:pPr>
      <w:r>
        <w:rPr>
          <w:rFonts w:hint="eastAsia" w:ascii="仿宋" w:hAnsi="仿宋" w:eastAsia="仿宋" w:cs="仿宋"/>
          <w:color w:val="000000" w:themeColor="text1"/>
          <w:sz w:val="32"/>
          <w:szCs w:val="32"/>
          <w:highlight w:val="none"/>
          <w14:textFill>
            <w14:solidFill>
              <w14:schemeClr w14:val="tx1"/>
            </w14:solidFill>
          </w14:textFill>
        </w:rPr>
        <w:t>递交截止时间：</w:t>
      </w:r>
      <w:r>
        <w:rPr>
          <w:rFonts w:hint="eastAsia" w:ascii="仿宋" w:hAnsi="仿宋" w:eastAsia="仿宋" w:cs="仿宋"/>
          <w:color w:val="000000" w:themeColor="text1"/>
          <w:sz w:val="32"/>
          <w:szCs w:val="32"/>
          <w:highlight w:val="none"/>
          <w:lang w:val="en-US" w:eastAsia="zh-CN"/>
          <w14:textFill>
            <w14:solidFill>
              <w14:schemeClr w14:val="tx1"/>
            </w14:solidFill>
          </w14:textFill>
        </w:rPr>
        <w:t>2025年02月09日17</w:t>
      </w:r>
      <w:bookmarkStart w:id="10" w:name="_GoBack"/>
      <w:bookmarkEnd w:id="10"/>
      <w:r>
        <w:rPr>
          <w:rFonts w:hint="eastAsia" w:ascii="仿宋" w:hAnsi="仿宋" w:eastAsia="仿宋" w:cs="仿宋"/>
          <w:color w:val="000000" w:themeColor="text1"/>
          <w:sz w:val="32"/>
          <w:szCs w:val="32"/>
          <w:highlight w:val="none"/>
          <w:lang w:val="en-US" w:eastAsia="zh-CN"/>
          <w14:textFill>
            <w14:solidFill>
              <w14:schemeClr w14:val="tx1"/>
            </w14:solidFill>
          </w14:textFill>
        </w:rPr>
        <w:t>:00前</w:t>
      </w:r>
    </w:p>
    <w:p w14:paraId="5C6E2020">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6、</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投标资格的确定</w:t>
      </w:r>
    </w:p>
    <w:p w14:paraId="0E137926">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6.1符合本公告所列的资格和条件要求并递交了资格预审文件的投标意向人并不意味着一定获得投标资格。</w:t>
      </w:r>
    </w:p>
    <w:p w14:paraId="6EECFFD0">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6.2招标人专家组将对全部已收到的资格预审资料进行分析，并独立、自主选择、确定正式的邀请投标人名单。</w:t>
      </w:r>
    </w:p>
    <w:p w14:paraId="12D987A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6.3招标人选择和确定邀请投标名单的过程和方法将不会进行公示和告知。</w:t>
      </w:r>
    </w:p>
    <w:p w14:paraId="3F05D1E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7、</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其他说明</w:t>
      </w:r>
    </w:p>
    <w:p w14:paraId="7EE62184">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7.1本阶段不组织现场踏勘，无进一步的资料提供。</w:t>
      </w:r>
    </w:p>
    <w:p w14:paraId="604BFDBC">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7.2本公告的作用仅为遴选邀请投标人，具体技术及经济方面要求以正式的招标文件为准。</w:t>
      </w:r>
    </w:p>
    <w:p w14:paraId="182EA87D">
      <w:pPr>
        <w:pStyle w:val="10"/>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7.3本次报名暨资格预审为自愿参加，招标人不给予任何补偿，本阶段招标人不提供答疑服务。</w:t>
      </w:r>
    </w:p>
    <w:p w14:paraId="73B7C25B">
      <w:pPr>
        <w:pStyle w:val="10"/>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53586AA8">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4D7AE810">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4E04A2A">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FFE295E">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90A24B9">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5D9AD73">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A766AD3">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454CAFA2">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3ADEF5B">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7EC385B">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91F976B">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DADD3FF">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AD8F77D">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6BA0D38">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78D44E2B">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850E361">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356B007">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78B4509E">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800E134">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F787B93">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47ECC4E1">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63215F3">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4901203">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3BCF9BDF">
      <w:pPr>
        <w:pStyle w:val="10"/>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r>
        <w:rPr>
          <w:rFonts w:hint="eastAsia" w:ascii="仿宋" w:hAnsi="仿宋" w:eastAsia="仿宋" w:cs="仿宋"/>
          <w:sz w:val="32"/>
          <w:szCs w:val="32"/>
          <w:highlight w:val="none"/>
        </w:rPr>
        <w:fldChar w:fldCharType="begin"/>
      </w:r>
      <w:r>
        <w:rPr>
          <w:rFonts w:hint="eastAsia" w:ascii="仿宋" w:hAnsi="仿宋" w:eastAsia="仿宋" w:cs="仿宋"/>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sz w:val="32"/>
          <w:szCs w:val="32"/>
          <w:highlight w:val="none"/>
        </w:rPr>
        <w:fldChar w:fldCharType="separate"/>
      </w:r>
      <w:r>
        <w:rPr>
          <w:rFonts w:hint="eastAsia" w:ascii="仿宋" w:hAnsi="仿宋" w:eastAsia="仿宋" w:cs="仿宋"/>
          <w:color w:val="000000" w:themeColor="text1"/>
          <w:sz w:val="32"/>
          <w:szCs w:val="32"/>
          <w:highlight w:val="none"/>
          <w14:textFill>
            <w14:solidFill>
              <w14:schemeClr w14:val="tx1"/>
            </w14:solidFill>
          </w14:textFill>
        </w:rPr>
        <w:t>报名登记表</w:t>
      </w:r>
      <w:r>
        <w:rPr>
          <w:rFonts w:hint="eastAsia" w:ascii="仿宋" w:hAnsi="仿宋" w:eastAsia="仿宋" w:cs="仿宋"/>
          <w:color w:val="000000" w:themeColor="text1"/>
          <w:sz w:val="32"/>
          <w:szCs w:val="32"/>
          <w:highlight w:val="none"/>
          <w14:textFill>
            <w14:solidFill>
              <w14:schemeClr w14:val="tx1"/>
            </w14:solidFill>
          </w14:textFill>
        </w:rPr>
        <w:fldChar w:fldCharType="end"/>
      </w:r>
    </w:p>
    <w:p w14:paraId="7E7608D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kern w:val="0"/>
          <w:sz w:val="40"/>
          <w:szCs w:val="40"/>
          <w:highlight w:val="none"/>
        </w:rPr>
      </w:pPr>
      <w:r>
        <w:rPr>
          <w:rFonts w:hint="eastAsia" w:ascii="宋体" w:hAnsi="宋体" w:eastAsia="宋体" w:cs="宋体"/>
          <w:b/>
          <w:bCs w:val="0"/>
          <w:sz w:val="40"/>
          <w:szCs w:val="40"/>
          <w:highlight w:val="none"/>
        </w:rPr>
        <w:t>投标人报名登记表</w:t>
      </w:r>
    </w:p>
    <w:tbl>
      <w:tblPr>
        <w:tblStyle w:val="11"/>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188464A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4E0AC15">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724038D3">
            <w:pPr>
              <w:widowControl/>
              <w:rPr>
                <w:rFonts w:hint="eastAsia" w:ascii="仿宋" w:hAnsi="仿宋" w:eastAsia="仿宋" w:cs="仿宋"/>
                <w:kern w:val="0"/>
                <w:sz w:val="24"/>
                <w:szCs w:val="24"/>
                <w:highlight w:val="none"/>
              </w:rPr>
            </w:pPr>
          </w:p>
        </w:tc>
      </w:tr>
      <w:tr w14:paraId="461B214D">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4EC1F7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01C36FF">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4EDA4D4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2359668D">
            <w:pPr>
              <w:widowControl/>
              <w:rPr>
                <w:rFonts w:hint="eastAsia" w:ascii="仿宋" w:hAnsi="仿宋" w:eastAsia="仿宋" w:cs="仿宋"/>
                <w:kern w:val="0"/>
                <w:sz w:val="24"/>
                <w:szCs w:val="24"/>
                <w:highlight w:val="none"/>
              </w:rPr>
            </w:pPr>
          </w:p>
        </w:tc>
      </w:tr>
      <w:tr w14:paraId="3E0B6E4D">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3F541D0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02C290D9">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20831C7E">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33D9B2D7">
            <w:pPr>
              <w:widowControl/>
              <w:rPr>
                <w:rFonts w:hint="eastAsia" w:ascii="仿宋" w:hAnsi="仿宋" w:eastAsia="仿宋" w:cs="仿宋"/>
                <w:kern w:val="0"/>
                <w:sz w:val="24"/>
                <w:szCs w:val="24"/>
                <w:highlight w:val="none"/>
              </w:rPr>
            </w:pPr>
          </w:p>
        </w:tc>
      </w:tr>
      <w:tr w14:paraId="442AB877">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4F9E5589">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40B07ADF">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5E630E44">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6FEBD2C4">
            <w:pPr>
              <w:widowControl/>
              <w:rPr>
                <w:rFonts w:hint="eastAsia" w:ascii="仿宋" w:hAnsi="仿宋" w:eastAsia="仿宋" w:cs="仿宋"/>
                <w:kern w:val="0"/>
                <w:sz w:val="24"/>
                <w:szCs w:val="24"/>
                <w:highlight w:val="none"/>
              </w:rPr>
            </w:pPr>
          </w:p>
        </w:tc>
      </w:tr>
      <w:tr w14:paraId="51EA7EAC">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5DD0D2B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0F8C8904">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3AA96240">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4BC572DF">
            <w:pPr>
              <w:widowControl/>
              <w:rPr>
                <w:rFonts w:hint="eastAsia" w:ascii="仿宋" w:hAnsi="仿宋" w:eastAsia="仿宋" w:cs="仿宋"/>
                <w:kern w:val="0"/>
                <w:sz w:val="24"/>
                <w:szCs w:val="24"/>
                <w:highlight w:val="none"/>
              </w:rPr>
            </w:pPr>
          </w:p>
        </w:tc>
      </w:tr>
      <w:tr w14:paraId="4DB2BA07">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7D62D014">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2C7C0EA">
            <w:pPr>
              <w:widowControl/>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□国家级□省、直辖市、自治区级□地市级□县区级</w:t>
            </w:r>
          </w:p>
        </w:tc>
      </w:tr>
      <w:tr w14:paraId="1D8155B8">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6ED78EF6">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695CAEAF">
            <w:pPr>
              <w:widowControl/>
              <w:jc w:val="left"/>
              <w:rPr>
                <w:rFonts w:hint="eastAsia" w:ascii="仿宋" w:hAnsi="仿宋" w:eastAsia="仿宋" w:cs="仿宋"/>
                <w:kern w:val="0"/>
                <w:sz w:val="24"/>
                <w:szCs w:val="24"/>
                <w:highlight w:val="none"/>
                <w:u w:val="single"/>
              </w:rPr>
            </w:pPr>
            <w:r>
              <w:rPr>
                <w:rFonts w:hint="eastAsia" w:ascii="仿宋" w:hAnsi="仿宋" w:eastAsia="仿宋" w:cs="仿宋"/>
                <w:kern w:val="0"/>
                <w:sz w:val="24"/>
                <w:szCs w:val="24"/>
                <w:highlight w:val="none"/>
              </w:rPr>
              <w:t>□国有□集体□私营□个体□合资□其它</w:t>
            </w:r>
          </w:p>
        </w:tc>
      </w:tr>
      <w:tr w14:paraId="767B6606">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4444DCA4">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0BC15B70">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7FA9C87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8A3C879">
            <w:pPr>
              <w:widowControl/>
              <w:rPr>
                <w:rFonts w:hint="eastAsia" w:ascii="仿宋" w:hAnsi="仿宋" w:eastAsia="仿宋" w:cs="仿宋"/>
                <w:kern w:val="0"/>
                <w:sz w:val="24"/>
                <w:szCs w:val="24"/>
                <w:highlight w:val="none"/>
              </w:rPr>
            </w:pPr>
          </w:p>
        </w:tc>
      </w:tr>
      <w:tr w14:paraId="3BF72C58">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46CB7C49">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33BE0976">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51A7E465">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ED9F051">
            <w:pPr>
              <w:widowControl/>
              <w:rPr>
                <w:rFonts w:hint="eastAsia" w:ascii="仿宋" w:hAnsi="仿宋" w:eastAsia="仿宋" w:cs="仿宋"/>
                <w:kern w:val="0"/>
                <w:sz w:val="24"/>
                <w:szCs w:val="24"/>
                <w:highlight w:val="none"/>
              </w:rPr>
            </w:pPr>
          </w:p>
        </w:tc>
      </w:tr>
      <w:tr w14:paraId="653430C0">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1369404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34A626BA">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2D7C304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78F4155A">
            <w:pPr>
              <w:widowControl/>
              <w:rPr>
                <w:rFonts w:hint="eastAsia" w:ascii="仿宋" w:hAnsi="仿宋" w:eastAsia="仿宋" w:cs="仿宋"/>
                <w:kern w:val="0"/>
                <w:sz w:val="24"/>
                <w:szCs w:val="24"/>
                <w:highlight w:val="none"/>
              </w:rPr>
            </w:pPr>
          </w:p>
        </w:tc>
      </w:tr>
      <w:tr w14:paraId="5EBB223B">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1938EA61">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4543C2E">
            <w:pPr>
              <w:widowControl/>
              <w:rPr>
                <w:rFonts w:hint="eastAsia" w:ascii="仿宋" w:hAnsi="仿宋" w:eastAsia="仿宋" w:cs="仿宋"/>
                <w:kern w:val="0"/>
                <w:sz w:val="24"/>
                <w:szCs w:val="24"/>
                <w:highlight w:val="none"/>
              </w:rPr>
            </w:pPr>
          </w:p>
        </w:tc>
      </w:tr>
      <w:tr w14:paraId="1ED25DD8">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3C4DB884">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认证情况及</w:t>
            </w:r>
          </w:p>
          <w:p w14:paraId="57DDD89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1329827">
            <w:pPr>
              <w:widowControl/>
              <w:rPr>
                <w:rFonts w:hint="eastAsia" w:ascii="仿宋" w:hAnsi="仿宋" w:eastAsia="仿宋" w:cs="仿宋"/>
                <w:kern w:val="0"/>
                <w:sz w:val="24"/>
                <w:szCs w:val="24"/>
                <w:highlight w:val="none"/>
              </w:rPr>
            </w:pPr>
          </w:p>
        </w:tc>
      </w:tr>
      <w:tr w14:paraId="7694052C">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2B1B25E1">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83F29A0">
            <w:pPr>
              <w:widowControl/>
              <w:rPr>
                <w:rFonts w:hint="eastAsia" w:ascii="仿宋" w:hAnsi="仿宋" w:eastAsia="仿宋" w:cs="仿宋"/>
                <w:kern w:val="0"/>
                <w:sz w:val="24"/>
                <w:szCs w:val="24"/>
                <w:highlight w:val="none"/>
              </w:rPr>
            </w:pPr>
          </w:p>
          <w:p w14:paraId="1BFEB9B9">
            <w:pPr>
              <w:widowControl/>
              <w:rPr>
                <w:rFonts w:hint="eastAsia" w:ascii="仿宋" w:hAnsi="仿宋" w:eastAsia="仿宋" w:cs="仿宋"/>
                <w:kern w:val="0"/>
                <w:sz w:val="24"/>
                <w:szCs w:val="24"/>
                <w:highlight w:val="none"/>
              </w:rPr>
            </w:pPr>
          </w:p>
          <w:p w14:paraId="13B317F1">
            <w:pPr>
              <w:widowControl/>
              <w:rPr>
                <w:rFonts w:hint="eastAsia" w:ascii="仿宋" w:hAnsi="仿宋" w:eastAsia="仿宋" w:cs="仿宋"/>
                <w:kern w:val="0"/>
                <w:sz w:val="24"/>
                <w:szCs w:val="24"/>
                <w:highlight w:val="none"/>
              </w:rPr>
            </w:pPr>
          </w:p>
        </w:tc>
      </w:tr>
      <w:tr w14:paraId="40D501FD">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27B13A7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A72E4C6">
            <w:pPr>
              <w:widowControl/>
              <w:rPr>
                <w:rFonts w:hint="eastAsia" w:ascii="仿宋" w:hAnsi="仿宋" w:eastAsia="仿宋" w:cs="仿宋"/>
                <w:kern w:val="0"/>
                <w:sz w:val="24"/>
                <w:szCs w:val="24"/>
                <w:highlight w:val="none"/>
              </w:rPr>
            </w:pPr>
          </w:p>
          <w:p w14:paraId="70EFC012">
            <w:pPr>
              <w:widowControl/>
              <w:rPr>
                <w:rFonts w:hint="eastAsia" w:ascii="仿宋" w:hAnsi="仿宋" w:eastAsia="仿宋" w:cs="仿宋"/>
                <w:kern w:val="0"/>
                <w:sz w:val="24"/>
                <w:szCs w:val="24"/>
                <w:highlight w:val="none"/>
              </w:rPr>
            </w:pPr>
          </w:p>
          <w:p w14:paraId="203A817A">
            <w:pPr>
              <w:widowControl/>
              <w:rPr>
                <w:rFonts w:hint="eastAsia" w:ascii="仿宋" w:hAnsi="仿宋" w:eastAsia="仿宋" w:cs="仿宋"/>
                <w:kern w:val="0"/>
                <w:sz w:val="24"/>
                <w:szCs w:val="24"/>
                <w:highlight w:val="none"/>
              </w:rPr>
            </w:pPr>
          </w:p>
        </w:tc>
      </w:tr>
      <w:tr w14:paraId="28B961EC">
        <w:tblPrEx>
          <w:tblCellMar>
            <w:top w:w="0" w:type="dxa"/>
            <w:left w:w="0" w:type="dxa"/>
            <w:bottom w:w="0" w:type="dxa"/>
            <w:right w:w="0" w:type="dxa"/>
          </w:tblCellMar>
        </w:tblPrEx>
        <w:trPr>
          <w:trHeight w:val="1714" w:hRule="atLeast"/>
        </w:trPr>
        <w:tc>
          <w:tcPr>
            <w:tcW w:w="1635" w:type="dxa"/>
            <w:tcBorders>
              <w:top w:val="single" w:color="auto" w:sz="6" w:space="0"/>
              <w:left w:val="single" w:color="auto" w:sz="6" w:space="0"/>
              <w:bottom w:val="single" w:color="auto" w:sz="6" w:space="0"/>
              <w:right w:val="single" w:color="auto" w:sz="6" w:space="0"/>
            </w:tcBorders>
            <w:vAlign w:val="center"/>
          </w:tcPr>
          <w:p w14:paraId="7C086CAF">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EBB456C">
            <w:pPr>
              <w:widowControl/>
              <w:rPr>
                <w:rFonts w:hint="eastAsia" w:ascii="仿宋" w:hAnsi="仿宋" w:eastAsia="仿宋" w:cs="仿宋"/>
                <w:kern w:val="0"/>
                <w:sz w:val="24"/>
                <w:szCs w:val="24"/>
                <w:highlight w:val="none"/>
              </w:rPr>
            </w:pPr>
          </w:p>
        </w:tc>
      </w:tr>
      <w:tr w14:paraId="38AB0D71">
        <w:tblPrEx>
          <w:tblCellMar>
            <w:top w:w="0" w:type="dxa"/>
            <w:left w:w="0" w:type="dxa"/>
            <w:bottom w:w="0" w:type="dxa"/>
            <w:right w:w="0" w:type="dxa"/>
          </w:tblCellMar>
        </w:tblPrEx>
        <w:trPr>
          <w:trHeight w:val="1737" w:hRule="atLeast"/>
        </w:trPr>
        <w:tc>
          <w:tcPr>
            <w:tcW w:w="1635" w:type="dxa"/>
            <w:tcBorders>
              <w:top w:val="single" w:color="auto" w:sz="6" w:space="0"/>
              <w:left w:val="single" w:color="auto" w:sz="6" w:space="0"/>
              <w:bottom w:val="single" w:color="auto" w:sz="6" w:space="0"/>
              <w:right w:val="single" w:color="auto" w:sz="6" w:space="0"/>
            </w:tcBorders>
            <w:vAlign w:val="center"/>
          </w:tcPr>
          <w:p w14:paraId="6458E5E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附件（证书</w:t>
            </w:r>
          </w:p>
          <w:p w14:paraId="155EEABF">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B713498">
            <w:pPr>
              <w:widowControl/>
              <w:rPr>
                <w:rFonts w:hint="eastAsia" w:ascii="仿宋" w:hAnsi="仿宋" w:eastAsia="仿宋" w:cs="仿宋"/>
                <w:kern w:val="0"/>
                <w:sz w:val="24"/>
                <w:szCs w:val="24"/>
                <w:highlight w:val="none"/>
              </w:rPr>
            </w:pPr>
          </w:p>
          <w:p w14:paraId="605DB1AC">
            <w:pPr>
              <w:widowControl/>
              <w:rPr>
                <w:rFonts w:hint="eastAsia" w:ascii="仿宋" w:hAnsi="仿宋" w:eastAsia="仿宋" w:cs="仿宋"/>
                <w:kern w:val="0"/>
                <w:sz w:val="24"/>
                <w:szCs w:val="24"/>
                <w:highlight w:val="none"/>
              </w:rPr>
            </w:pPr>
          </w:p>
          <w:p w14:paraId="5F78A4B7">
            <w:pPr>
              <w:widowControl/>
              <w:rPr>
                <w:rFonts w:hint="eastAsia" w:ascii="仿宋" w:hAnsi="仿宋" w:eastAsia="仿宋" w:cs="仿宋"/>
                <w:kern w:val="0"/>
                <w:sz w:val="24"/>
                <w:szCs w:val="24"/>
                <w:highlight w:val="none"/>
              </w:rPr>
            </w:pPr>
          </w:p>
          <w:p w14:paraId="33540DE9">
            <w:pPr>
              <w:widowControl/>
              <w:rPr>
                <w:rFonts w:hint="eastAsia" w:ascii="仿宋" w:hAnsi="仿宋" w:eastAsia="仿宋" w:cs="仿宋"/>
                <w:kern w:val="0"/>
                <w:sz w:val="24"/>
                <w:szCs w:val="24"/>
                <w:highlight w:val="none"/>
              </w:rPr>
            </w:pPr>
          </w:p>
          <w:p w14:paraId="4831C5D8">
            <w:pPr>
              <w:widowControl/>
              <w:rPr>
                <w:rFonts w:hint="eastAsia" w:ascii="仿宋" w:hAnsi="仿宋" w:eastAsia="仿宋" w:cs="仿宋"/>
                <w:kern w:val="0"/>
                <w:sz w:val="24"/>
                <w:szCs w:val="24"/>
                <w:highlight w:val="none"/>
              </w:rPr>
            </w:pPr>
          </w:p>
        </w:tc>
      </w:tr>
      <w:tr w14:paraId="35E98C41">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61861A2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501647E9">
            <w:pPr>
              <w:widowControl/>
              <w:ind w:firstLine="723" w:firstLineChars="300"/>
              <w:jc w:val="left"/>
              <w:rPr>
                <w:rFonts w:hint="eastAsia" w:ascii="仿宋" w:hAnsi="仿宋" w:eastAsia="仿宋" w:cs="仿宋"/>
                <w:b/>
                <w:kern w:val="0"/>
                <w:sz w:val="24"/>
                <w:szCs w:val="24"/>
                <w:highlight w:val="none"/>
              </w:rPr>
            </w:pPr>
          </w:p>
        </w:tc>
      </w:tr>
    </w:tbl>
    <w:p w14:paraId="42E8B51E">
      <w:pPr>
        <w:tabs>
          <w:tab w:val="left" w:pos="1341"/>
        </w:tabs>
        <w:bidi w:val="0"/>
        <w:jc w:val="left"/>
        <w:rPr>
          <w:highlight w:val="none"/>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87053">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7E323D"/>
    <w:multiLevelType w:val="multilevel"/>
    <w:tmpl w:val="287E323D"/>
    <w:lvl w:ilvl="0" w:tentative="0">
      <w:start w:val="1"/>
      <w:numFmt w:val="decimal"/>
      <w:pStyle w:val="24"/>
      <w:lvlText w:val="%1."/>
      <w:lvlJc w:val="left"/>
      <w:pPr>
        <w:ind w:left="846" w:hanging="420"/>
      </w:pPr>
      <w:rPr>
        <w:rFonts w:cs="Times New Roman"/>
        <w:i w:val="0"/>
        <w:iCs w:val="0"/>
        <w:caps w:val="0"/>
        <w:smallCaps w:val="0"/>
        <w:strike w:val="0"/>
        <w:dstrike w:val="0"/>
        <w:outline w:val="0"/>
        <w:shadow w:val="0"/>
        <w:emboss w:val="0"/>
        <w:imprint w:val="0"/>
        <w:vanish w:val="0"/>
        <w:spacing w:val="0"/>
        <w:position w:val="0"/>
        <w:sz w:val="24"/>
        <w:szCs w:val="24"/>
        <w:u w:val="none"/>
        <w:vertAlign w:val="baseline"/>
        <w14:ligatures w14:val="none"/>
        <w14:numForm w14:val="default"/>
        <w14:numSpacing w14:val="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5Y2FiYmUwZTBjNDY3YTU0MWI2MGViMGNkYzE5ODAifQ=="/>
    <w:docVar w:name="KSO_WPS_MARK_KEY" w:val="cdf713f1-93e8-4e69-9074-d1d5e4975a89"/>
  </w:docVars>
  <w:rsids>
    <w:rsidRoot w:val="2E257D4F"/>
    <w:rsid w:val="0000747A"/>
    <w:rsid w:val="000504B0"/>
    <w:rsid w:val="00064DED"/>
    <w:rsid w:val="000801CA"/>
    <w:rsid w:val="000844AB"/>
    <w:rsid w:val="000A66F0"/>
    <w:rsid w:val="000A70C6"/>
    <w:rsid w:val="000C21B8"/>
    <w:rsid w:val="000C7ABC"/>
    <w:rsid w:val="000D703C"/>
    <w:rsid w:val="000E467A"/>
    <w:rsid w:val="00137EB0"/>
    <w:rsid w:val="001662F9"/>
    <w:rsid w:val="0017010B"/>
    <w:rsid w:val="00175DC0"/>
    <w:rsid w:val="00177730"/>
    <w:rsid w:val="00180922"/>
    <w:rsid w:val="00181BAE"/>
    <w:rsid w:val="001873BB"/>
    <w:rsid w:val="00194913"/>
    <w:rsid w:val="001F5197"/>
    <w:rsid w:val="00200BC1"/>
    <w:rsid w:val="00204D0E"/>
    <w:rsid w:val="00243251"/>
    <w:rsid w:val="00244FF6"/>
    <w:rsid w:val="00256178"/>
    <w:rsid w:val="002729DE"/>
    <w:rsid w:val="00287AD3"/>
    <w:rsid w:val="002B6AD2"/>
    <w:rsid w:val="002C0551"/>
    <w:rsid w:val="002D66F5"/>
    <w:rsid w:val="002F11FC"/>
    <w:rsid w:val="002F4BA7"/>
    <w:rsid w:val="00323C41"/>
    <w:rsid w:val="00333D37"/>
    <w:rsid w:val="003347A1"/>
    <w:rsid w:val="003467CE"/>
    <w:rsid w:val="00347D93"/>
    <w:rsid w:val="00352DA9"/>
    <w:rsid w:val="00380F5C"/>
    <w:rsid w:val="003906E9"/>
    <w:rsid w:val="003D0EE4"/>
    <w:rsid w:val="003D21FA"/>
    <w:rsid w:val="003E31CC"/>
    <w:rsid w:val="00413A72"/>
    <w:rsid w:val="00432169"/>
    <w:rsid w:val="00453837"/>
    <w:rsid w:val="004620FE"/>
    <w:rsid w:val="00466721"/>
    <w:rsid w:val="00487C00"/>
    <w:rsid w:val="004A1BAE"/>
    <w:rsid w:val="004C47E6"/>
    <w:rsid w:val="004C57B5"/>
    <w:rsid w:val="004F041E"/>
    <w:rsid w:val="004F1C97"/>
    <w:rsid w:val="00516D14"/>
    <w:rsid w:val="005315F8"/>
    <w:rsid w:val="0053548B"/>
    <w:rsid w:val="00562FF2"/>
    <w:rsid w:val="00591B23"/>
    <w:rsid w:val="005A5672"/>
    <w:rsid w:val="005C1D08"/>
    <w:rsid w:val="005D0E95"/>
    <w:rsid w:val="005E7FA7"/>
    <w:rsid w:val="005F0F98"/>
    <w:rsid w:val="00612998"/>
    <w:rsid w:val="00614E76"/>
    <w:rsid w:val="00645FF4"/>
    <w:rsid w:val="0068632A"/>
    <w:rsid w:val="00696F99"/>
    <w:rsid w:val="006A252C"/>
    <w:rsid w:val="006B338D"/>
    <w:rsid w:val="006C0F7D"/>
    <w:rsid w:val="006E7CD8"/>
    <w:rsid w:val="006F083F"/>
    <w:rsid w:val="00713DC4"/>
    <w:rsid w:val="00736B16"/>
    <w:rsid w:val="00751F1C"/>
    <w:rsid w:val="00785903"/>
    <w:rsid w:val="007A335F"/>
    <w:rsid w:val="007A65EF"/>
    <w:rsid w:val="007B6400"/>
    <w:rsid w:val="007C2962"/>
    <w:rsid w:val="007C33A8"/>
    <w:rsid w:val="007C58AC"/>
    <w:rsid w:val="00813B37"/>
    <w:rsid w:val="00836CF6"/>
    <w:rsid w:val="00850AFB"/>
    <w:rsid w:val="00864E8C"/>
    <w:rsid w:val="0088121F"/>
    <w:rsid w:val="0089020D"/>
    <w:rsid w:val="008C474C"/>
    <w:rsid w:val="008F0858"/>
    <w:rsid w:val="008F3796"/>
    <w:rsid w:val="009066C4"/>
    <w:rsid w:val="0092125D"/>
    <w:rsid w:val="0093702F"/>
    <w:rsid w:val="009372BD"/>
    <w:rsid w:val="00937F10"/>
    <w:rsid w:val="00942305"/>
    <w:rsid w:val="0094523E"/>
    <w:rsid w:val="00946410"/>
    <w:rsid w:val="00950E6B"/>
    <w:rsid w:val="00952D27"/>
    <w:rsid w:val="00995AA7"/>
    <w:rsid w:val="009A140A"/>
    <w:rsid w:val="009D5D3F"/>
    <w:rsid w:val="009D68B3"/>
    <w:rsid w:val="009D7884"/>
    <w:rsid w:val="009E5C44"/>
    <w:rsid w:val="00A11132"/>
    <w:rsid w:val="00A157F2"/>
    <w:rsid w:val="00A3498D"/>
    <w:rsid w:val="00A86F4C"/>
    <w:rsid w:val="00AA14D9"/>
    <w:rsid w:val="00AA6D8D"/>
    <w:rsid w:val="00AC0148"/>
    <w:rsid w:val="00AC1675"/>
    <w:rsid w:val="00AC4B70"/>
    <w:rsid w:val="00AE0798"/>
    <w:rsid w:val="00AF3208"/>
    <w:rsid w:val="00B04B6D"/>
    <w:rsid w:val="00B15620"/>
    <w:rsid w:val="00B24B12"/>
    <w:rsid w:val="00B33033"/>
    <w:rsid w:val="00B406E3"/>
    <w:rsid w:val="00B411A9"/>
    <w:rsid w:val="00B509FF"/>
    <w:rsid w:val="00B54E66"/>
    <w:rsid w:val="00B83919"/>
    <w:rsid w:val="00B96E91"/>
    <w:rsid w:val="00BA5595"/>
    <w:rsid w:val="00BB374E"/>
    <w:rsid w:val="00BC6744"/>
    <w:rsid w:val="00BE2643"/>
    <w:rsid w:val="00BE2D39"/>
    <w:rsid w:val="00BF5665"/>
    <w:rsid w:val="00C62C63"/>
    <w:rsid w:val="00C66279"/>
    <w:rsid w:val="00C834DE"/>
    <w:rsid w:val="00C93704"/>
    <w:rsid w:val="00C97CA4"/>
    <w:rsid w:val="00CA5303"/>
    <w:rsid w:val="00CA7667"/>
    <w:rsid w:val="00CD3E78"/>
    <w:rsid w:val="00CE3627"/>
    <w:rsid w:val="00D218B9"/>
    <w:rsid w:val="00D256F3"/>
    <w:rsid w:val="00D353E6"/>
    <w:rsid w:val="00D57579"/>
    <w:rsid w:val="00D6105C"/>
    <w:rsid w:val="00D71E72"/>
    <w:rsid w:val="00DA19B5"/>
    <w:rsid w:val="00DA4D12"/>
    <w:rsid w:val="00DE40FB"/>
    <w:rsid w:val="00DE6720"/>
    <w:rsid w:val="00E16684"/>
    <w:rsid w:val="00E556EA"/>
    <w:rsid w:val="00E64EFB"/>
    <w:rsid w:val="00E7130F"/>
    <w:rsid w:val="00E71E4F"/>
    <w:rsid w:val="00E809B9"/>
    <w:rsid w:val="00E9323E"/>
    <w:rsid w:val="00EB1EFA"/>
    <w:rsid w:val="00EB3B2B"/>
    <w:rsid w:val="00EB3C57"/>
    <w:rsid w:val="00ED04C7"/>
    <w:rsid w:val="00EE249D"/>
    <w:rsid w:val="00EE5747"/>
    <w:rsid w:val="00F16D08"/>
    <w:rsid w:val="00F1729F"/>
    <w:rsid w:val="00F3783A"/>
    <w:rsid w:val="00F4454C"/>
    <w:rsid w:val="00F60730"/>
    <w:rsid w:val="00F620F0"/>
    <w:rsid w:val="00F64516"/>
    <w:rsid w:val="00F74A97"/>
    <w:rsid w:val="00FA2683"/>
    <w:rsid w:val="00FD40FB"/>
    <w:rsid w:val="010333FC"/>
    <w:rsid w:val="018F37DC"/>
    <w:rsid w:val="025008C3"/>
    <w:rsid w:val="04147D51"/>
    <w:rsid w:val="042913CB"/>
    <w:rsid w:val="064C08DC"/>
    <w:rsid w:val="06846D8D"/>
    <w:rsid w:val="078C256D"/>
    <w:rsid w:val="08986B20"/>
    <w:rsid w:val="0EF241FA"/>
    <w:rsid w:val="0F2A3C8A"/>
    <w:rsid w:val="14DA3004"/>
    <w:rsid w:val="158C17BA"/>
    <w:rsid w:val="159107E8"/>
    <w:rsid w:val="18D3325C"/>
    <w:rsid w:val="1C857C21"/>
    <w:rsid w:val="1CC21DD5"/>
    <w:rsid w:val="1D3E15EC"/>
    <w:rsid w:val="1ECC70CB"/>
    <w:rsid w:val="233D0598"/>
    <w:rsid w:val="25223279"/>
    <w:rsid w:val="26AC3174"/>
    <w:rsid w:val="27596A36"/>
    <w:rsid w:val="28915A83"/>
    <w:rsid w:val="28EF5E90"/>
    <w:rsid w:val="2AE13EFE"/>
    <w:rsid w:val="2BE5357A"/>
    <w:rsid w:val="2DA84860"/>
    <w:rsid w:val="2E257D4F"/>
    <w:rsid w:val="2E871258"/>
    <w:rsid w:val="32E549E2"/>
    <w:rsid w:val="337A6C9E"/>
    <w:rsid w:val="339A60D2"/>
    <w:rsid w:val="353842C5"/>
    <w:rsid w:val="35A52FD0"/>
    <w:rsid w:val="361C4B37"/>
    <w:rsid w:val="374564B6"/>
    <w:rsid w:val="385A3E56"/>
    <w:rsid w:val="38B67F47"/>
    <w:rsid w:val="38C60496"/>
    <w:rsid w:val="3954490E"/>
    <w:rsid w:val="39A41704"/>
    <w:rsid w:val="39CF350A"/>
    <w:rsid w:val="3ACA0494"/>
    <w:rsid w:val="3ADA3505"/>
    <w:rsid w:val="3C476D95"/>
    <w:rsid w:val="3C6B7ACC"/>
    <w:rsid w:val="3F6D34FF"/>
    <w:rsid w:val="3FF57F0E"/>
    <w:rsid w:val="433504EC"/>
    <w:rsid w:val="43576028"/>
    <w:rsid w:val="43DC0895"/>
    <w:rsid w:val="43E64624"/>
    <w:rsid w:val="45800DE1"/>
    <w:rsid w:val="46671304"/>
    <w:rsid w:val="4739011D"/>
    <w:rsid w:val="4747411A"/>
    <w:rsid w:val="48460BA1"/>
    <w:rsid w:val="48916F56"/>
    <w:rsid w:val="4A357A6C"/>
    <w:rsid w:val="4A7E2A0C"/>
    <w:rsid w:val="4AA733D2"/>
    <w:rsid w:val="4B311D38"/>
    <w:rsid w:val="4BF76C86"/>
    <w:rsid w:val="4CCA4BF9"/>
    <w:rsid w:val="4DC3752B"/>
    <w:rsid w:val="4DDF3E76"/>
    <w:rsid w:val="4F3079D8"/>
    <w:rsid w:val="510A120A"/>
    <w:rsid w:val="516B7828"/>
    <w:rsid w:val="52943982"/>
    <w:rsid w:val="537459F1"/>
    <w:rsid w:val="538D2FC3"/>
    <w:rsid w:val="56033A6C"/>
    <w:rsid w:val="56295AE0"/>
    <w:rsid w:val="59FD190B"/>
    <w:rsid w:val="5A4667C0"/>
    <w:rsid w:val="5CA22C3E"/>
    <w:rsid w:val="5CF77F7E"/>
    <w:rsid w:val="5E40626B"/>
    <w:rsid w:val="5F3965EF"/>
    <w:rsid w:val="60B00E29"/>
    <w:rsid w:val="63CB5D8E"/>
    <w:rsid w:val="640B26A1"/>
    <w:rsid w:val="65A83315"/>
    <w:rsid w:val="676905E0"/>
    <w:rsid w:val="69440803"/>
    <w:rsid w:val="6A891200"/>
    <w:rsid w:val="6AC56475"/>
    <w:rsid w:val="6BA0659B"/>
    <w:rsid w:val="6E5C617A"/>
    <w:rsid w:val="6F250E60"/>
    <w:rsid w:val="6F37131C"/>
    <w:rsid w:val="6F6D70DC"/>
    <w:rsid w:val="707B3A00"/>
    <w:rsid w:val="72232E96"/>
    <w:rsid w:val="72A2712C"/>
    <w:rsid w:val="73510807"/>
    <w:rsid w:val="736463EE"/>
    <w:rsid w:val="74F57F15"/>
    <w:rsid w:val="75342E9D"/>
    <w:rsid w:val="7763329E"/>
    <w:rsid w:val="77682151"/>
    <w:rsid w:val="77C41863"/>
    <w:rsid w:val="78941235"/>
    <w:rsid w:val="798C052A"/>
    <w:rsid w:val="7A35410F"/>
    <w:rsid w:val="7B231500"/>
    <w:rsid w:val="7B2F6317"/>
    <w:rsid w:val="7B5829EE"/>
    <w:rsid w:val="7C503977"/>
    <w:rsid w:val="7D7814EB"/>
    <w:rsid w:val="7FA378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widowControl w:val="0"/>
      <w:spacing w:after="120" w:line="240" w:lineRule="auto"/>
      <w:ind w:firstLine="420" w:firstLineChars="100"/>
    </w:pPr>
    <w:rPr>
      <w:rFonts w:ascii="Times New Roman" w:hAnsi="Times New Roman"/>
      <w:kern w:val="2"/>
      <w:szCs w:val="24"/>
    </w:rPr>
  </w:style>
  <w:style w:type="paragraph" w:styleId="3">
    <w:name w:val="Body Text"/>
    <w:basedOn w:val="1"/>
    <w:next w:val="1"/>
    <w:qFormat/>
    <w:uiPriority w:val="0"/>
    <w:pPr>
      <w:spacing w:line="360" w:lineRule="auto"/>
    </w:pPr>
    <w:rPr>
      <w:sz w:val="24"/>
    </w:rPr>
  </w:style>
  <w:style w:type="paragraph" w:styleId="4">
    <w:name w:val="Body Text First Indent 2"/>
    <w:basedOn w:val="5"/>
    <w:unhideWhenUsed/>
    <w:qFormat/>
    <w:uiPriority w:val="99"/>
    <w:pPr>
      <w:ind w:firstLine="420" w:firstLineChars="200"/>
    </w:pPr>
  </w:style>
  <w:style w:type="paragraph" w:styleId="5">
    <w:name w:val="Body Text Indent"/>
    <w:basedOn w:val="1"/>
    <w:qFormat/>
    <w:uiPriority w:val="0"/>
    <w:pPr>
      <w:keepNext/>
      <w:ind w:left="720" w:leftChars="342" w:hanging="2"/>
    </w:pPr>
    <w:rPr>
      <w:rFonts w:ascii="宋体" w:hAnsi="宋体"/>
    </w:rPr>
  </w:style>
  <w:style w:type="paragraph" w:styleId="6">
    <w:name w:val="Normal Indent"/>
    <w:basedOn w:val="1"/>
    <w:qFormat/>
    <w:uiPriority w:val="0"/>
    <w:pPr>
      <w:ind w:firstLine="420" w:firstLineChars="200"/>
    </w:pPr>
    <w:rPr>
      <w:szCs w:val="24"/>
    </w:rPr>
  </w:style>
  <w:style w:type="paragraph" w:styleId="7">
    <w:name w:val="Balloon Text"/>
    <w:basedOn w:val="1"/>
    <w:link w:val="19"/>
    <w:qFormat/>
    <w:uiPriority w:val="0"/>
    <w:rPr>
      <w:sz w:val="18"/>
      <w:szCs w:val="18"/>
    </w:rPr>
  </w:style>
  <w:style w:type="paragraph" w:styleId="8">
    <w:name w:val="footer"/>
    <w:basedOn w:val="1"/>
    <w:link w:val="21"/>
    <w:qFormat/>
    <w:uiPriority w:val="0"/>
    <w:pPr>
      <w:tabs>
        <w:tab w:val="center" w:pos="4153"/>
        <w:tab w:val="right" w:pos="8306"/>
      </w:tabs>
      <w:snapToGrid w:val="0"/>
      <w:jc w:val="left"/>
    </w:pPr>
    <w:rPr>
      <w:sz w:val="18"/>
      <w:szCs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rFonts w:cs="Times New Roman"/>
      <w:kern w:val="0"/>
      <w:sz w:val="24"/>
    </w:rPr>
  </w:style>
  <w:style w:type="character" w:styleId="13">
    <w:name w:val="Strong"/>
    <w:basedOn w:val="12"/>
    <w:qFormat/>
    <w:uiPriority w:val="0"/>
    <w:rPr>
      <w:b/>
    </w:rPr>
  </w:style>
  <w:style w:type="character" w:styleId="14">
    <w:name w:val="FollowedHyperlink"/>
    <w:basedOn w:val="12"/>
    <w:qFormat/>
    <w:uiPriority w:val="0"/>
    <w:rPr>
      <w:color w:val="333333"/>
      <w:u w:val="none"/>
    </w:rPr>
  </w:style>
  <w:style w:type="character" w:styleId="15">
    <w:name w:val="Hyperlink"/>
    <w:basedOn w:val="12"/>
    <w:qFormat/>
    <w:uiPriority w:val="0"/>
    <w:rPr>
      <w:color w:val="333333"/>
      <w:u w:val="none"/>
    </w:rPr>
  </w:style>
  <w:style w:type="character" w:styleId="16">
    <w:name w:val="HTML Code"/>
    <w:basedOn w:val="12"/>
    <w:qFormat/>
    <w:uiPriority w:val="0"/>
    <w:rPr>
      <w:rFonts w:hint="default" w:ascii="monospace" w:hAnsi="monospace" w:eastAsia="monospace" w:cs="monospace"/>
      <w:sz w:val="21"/>
      <w:szCs w:val="21"/>
    </w:rPr>
  </w:style>
  <w:style w:type="character" w:styleId="17">
    <w:name w:val="HTML Keyboard"/>
    <w:basedOn w:val="12"/>
    <w:qFormat/>
    <w:uiPriority w:val="0"/>
    <w:rPr>
      <w:rFonts w:ascii="monospace" w:hAnsi="monospace" w:eastAsia="monospace" w:cs="monospace"/>
      <w:sz w:val="21"/>
      <w:szCs w:val="21"/>
    </w:rPr>
  </w:style>
  <w:style w:type="character" w:styleId="18">
    <w:name w:val="HTML Sample"/>
    <w:basedOn w:val="12"/>
    <w:qFormat/>
    <w:uiPriority w:val="0"/>
    <w:rPr>
      <w:rFonts w:hint="default" w:ascii="monospace" w:hAnsi="monospace" w:eastAsia="monospace" w:cs="monospace"/>
      <w:sz w:val="21"/>
      <w:szCs w:val="21"/>
    </w:rPr>
  </w:style>
  <w:style w:type="character" w:customStyle="1" w:styleId="19">
    <w:name w:val="批注框文本 Char"/>
    <w:basedOn w:val="12"/>
    <w:link w:val="7"/>
    <w:qFormat/>
    <w:uiPriority w:val="0"/>
    <w:rPr>
      <w:rFonts w:asciiTheme="minorHAnsi" w:hAnsiTheme="minorHAnsi" w:eastAsiaTheme="minorEastAsia" w:cstheme="minorBidi"/>
      <w:kern w:val="2"/>
      <w:sz w:val="18"/>
      <w:szCs w:val="18"/>
    </w:rPr>
  </w:style>
  <w:style w:type="character" w:customStyle="1" w:styleId="20">
    <w:name w:val="页眉 Char"/>
    <w:basedOn w:val="12"/>
    <w:link w:val="9"/>
    <w:qFormat/>
    <w:uiPriority w:val="0"/>
    <w:rPr>
      <w:rFonts w:asciiTheme="minorHAnsi" w:hAnsiTheme="minorHAnsi" w:eastAsiaTheme="minorEastAsia" w:cstheme="minorBidi"/>
      <w:kern w:val="2"/>
      <w:sz w:val="18"/>
      <w:szCs w:val="18"/>
    </w:rPr>
  </w:style>
  <w:style w:type="character" w:customStyle="1" w:styleId="21">
    <w:name w:val="页脚 Char"/>
    <w:basedOn w:val="12"/>
    <w:link w:val="8"/>
    <w:qFormat/>
    <w:uiPriority w:val="0"/>
    <w:rPr>
      <w:rFonts w:asciiTheme="minorHAnsi" w:hAnsiTheme="minorHAnsi" w:eastAsiaTheme="minorEastAsia" w:cstheme="minorBidi"/>
      <w:kern w:val="2"/>
      <w:sz w:val="18"/>
      <w:szCs w:val="18"/>
    </w:rPr>
  </w:style>
  <w:style w:type="character" w:customStyle="1" w:styleId="22">
    <w:name w:val="未处理的提及1"/>
    <w:basedOn w:val="12"/>
    <w:semiHidden/>
    <w:unhideWhenUsed/>
    <w:qFormat/>
    <w:uiPriority w:val="99"/>
    <w:rPr>
      <w:color w:val="605E5C"/>
      <w:shd w:val="clear" w:color="auto" w:fill="E1DFDD"/>
    </w:rPr>
  </w:style>
  <w:style w:type="paragraph" w:customStyle="1" w:styleId="23">
    <w:name w:val="列出段落3"/>
    <w:basedOn w:val="1"/>
    <w:unhideWhenUsed/>
    <w:qFormat/>
    <w:uiPriority w:val="99"/>
    <w:pPr>
      <w:ind w:firstLine="420" w:firstLineChars="200"/>
    </w:pPr>
  </w:style>
  <w:style w:type="paragraph" w:customStyle="1" w:styleId="24">
    <w:name w:val="样式2"/>
    <w:basedOn w:val="1"/>
    <w:qFormat/>
    <w:uiPriority w:val="0"/>
    <w:pPr>
      <w:numPr>
        <w:ilvl w:val="0"/>
        <w:numId w:val="1"/>
      </w:numPr>
      <w:spacing w:line="348" w:lineRule="auto"/>
    </w:pPr>
    <w:rPr>
      <w:rFonts w:ascii="宋体" w:hAnsi="宋体"/>
      <w:b/>
      <w:bCs/>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2492</Words>
  <Characters>2692</Characters>
  <Lines>15</Lines>
  <Paragraphs>4</Paragraphs>
  <TotalTime>14</TotalTime>
  <ScaleCrop>false</ScaleCrop>
  <LinksUpToDate>false</LinksUpToDate>
  <CharactersWithSpaces>2705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2018-01-12T03:37:00Z</dcterms:created>
  <dc:creator>依＠赖</dc:creator>
  <cp:lastModifiedBy>你说爱情就是扯淡</cp:lastModifiedBy>
  <cp:lastPrinted>2024-02-02T01:59:00Z</cp:lastPrinted>
  <dcterms:modified xsi:type="dcterms:W3CDTF">2025-02-05T00:50:10Z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6E128C3B743B484A81A8B83636290837_13</vt:lpwstr>
  </property>
  <property fmtid="{D5CDD505-2E9C-101B-9397-08002B2CF9AE}" pid="4" name="KSOTemplateDocerSaveRecord">
    <vt:lpwstr>eyJoZGlkIjoiZTM3NTZkYWQxMzhmNGE1OTkxZTE3NjU4YTQxOWRiNzkiLCJ1c2VySWQiOiI1MDgxNzgxNDAifQ==</vt:lpwstr>
  </property>
</Properties>
</file>